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11.1.42.0 (.net), jvm: null. os: Windows Server "Longhorn", osver: 6.1-->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body>
    <w:p>
      <w:pPr>
        <w:widowControl w:val="off"/>
        <w:pBdr>
          <w:top w:val="nil"/>
          <w:left w:val="nil"/>
          <w:bottom w:val="nil"/>
          <w:right w:val="nil"/>
          <w:between w:val="nil"/>
        </w:pBdr>
        <w:spacing w:after="0"/>
        <w:rPr>
          <w:rFonts w:asciiTheme="majorHAnsi" w:hAnsiTheme="majorHAnsi"/>
          <w:b w:val="on"/>
          <w:color w:val="548dd4" w:themeColor="text2" w:themeTint="99"/>
          <w:sz w:val="36"/>
          <w:szCs w:val="36"/>
        </w:rPr>
      </w:pPr>
      <w: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wrapSquare wrapText="bothSides"/>
            <wp:docPr id="1" name="Picture_1" descr="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7"/>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val="on"/>
          <w:color w:val="548dd4" w:themeColor="text2" w:themeTint="99"/>
          <w:sz w:val="36"/>
          <w:szCs w:val="36"/>
        </w:rPr>
        <w:t xml:space="preserve"> </w:t>
      </w:r>
    </w:p>
    <w:p>
      <w:pPr>
        <w:widowControl w:val="off"/>
        <w:pBdr>
          <w:top w:val="nil"/>
          <w:left w:val="nil"/>
          <w:bottom w:val="nil"/>
          <w:right w:val="nil"/>
          <w:between w:val="nil"/>
        </w:pBdr>
        <w:spacing w:after="0"/>
        <w:jc w:val="center"/>
        <w:rPr>
          <w:rFonts w:asciiTheme="majorHAnsi" w:hAnsiTheme="majorHAnsi"/>
          <w:b w:val="on"/>
          <w:color w:val="548dd4" w:themeColor="text2" w:themeTint="99"/>
          <w:sz w:val="36"/>
          <w:szCs w:val="36"/>
        </w:rPr>
      </w:pPr>
      <w:r>
        <w:rPr>
          <w:rFonts w:asciiTheme="majorHAnsi" w:hAnsiTheme="majorHAnsi"/>
          <w:b w:val="on"/>
          <w:color w:val="548dd4" w:themeColor="text2" w:themeTint="99"/>
          <w:sz w:val="36"/>
          <w:szCs w:val="36"/>
        </w:rPr>
        <w:t xml:space="preserve">Grant All-Detail Report</w:t>
      </w:r>
    </w:p>
    <w:p>
      <w:pPr>
        <w:widowControl w:val="off"/>
        <w:pBdr>
          <w:top w:val="nil"/>
          <w:left w:val="nil"/>
          <w:bottom w:val="nil"/>
          <w:right w:val="nil"/>
          <w:between w:val="nil"/>
        </w:pBdr>
        <w:spacing w:after="0"/>
        <w:jc w:val="center"/>
        <w:rPr>
          <w:rFonts w:asciiTheme="majorHAnsi" w:hAnsiTheme="majorHAnsi"/>
          <w:sz w:val="20"/>
          <w:szCs w:val="20"/>
        </w:rPr>
      </w:pPr>
      <w:r>
        <w:rPr>
          <w:rFonts w:asciiTheme="majorHAnsi" w:hAnsiTheme="majorHAnsi"/>
          <w:b w:val="on"/>
          <w:color w:val="548dd4" w:themeColor="text2" w:themeTint="99"/>
          <w:sz w:val="36"/>
          <w:szCs w:val="36"/>
        </w:rPr>
        <w:t xml:space="preserve">SWCD Local Capacity Services 2017</w:t>
      </w:r>
    </w:p>
    <w:p>
      <w:pPr>
        <w:widowControl w:val="off"/>
        <w:pBdr>
          <w:top w:val="nil"/>
          <w:left w:val="nil"/>
          <w:bottom w:val="nil"/>
          <w:right w:val="nil"/>
          <w:between w:val="nil"/>
        </w:pBdr>
        <w:spacing w:after="0"/>
        <w:rPr>
          <w:rFonts w:asciiTheme="majorHAnsi" w:hAnsiTheme="majorHAnsi"/>
          <w:sz w:val="20"/>
          <w:szCs w:val="20"/>
        </w:rPr>
      </w:pP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p>
      <w:pPr>
        <w:widowControl w:val="off"/>
        <w:pBdr>
          <w:top w:val="nil"/>
          <w:left w:val="nil"/>
          <w:bottom w:val="nil"/>
          <w:right w:val="nil"/>
          <w:between w:val="nil"/>
        </w:pBdr>
        <w:spacing w:after="0"/>
        <w:rPr>
          <w:rFonts w:asciiTheme="majorHAnsi" w:hAnsiTheme="majorHAnsi"/>
          <w:color w:val="548dd4" w:themeColor="text2" w:themeTint="99"/>
          <w:sz w:val="24"/>
          <w:szCs w:val="24"/>
        </w:rPr>
      </w:pPr>
      <w:r>
        <w:rPr>
          <w:rFonts w:asciiTheme="majorHAnsi" w:hAnsiTheme="majorHAnsi"/>
          <w:b w:val="on"/>
          <w:color w:val="548dd4" w:themeColor="text2" w:themeTint="99"/>
          <w:sz w:val="24"/>
          <w:szCs w:val="24"/>
        </w:rPr>
        <w:t xml:space="preserve">Grant Title - </w:t>
      </w:r>
      <w:r>
        <w:rPr>
          <w:rFonts w:asciiTheme="majorHAnsi" w:hAnsiTheme="majorHAnsi"/>
          <w:color w:val="548dd4" w:themeColor="text2" w:themeTint="99"/>
          <w:sz w:val="24"/>
          <w:szCs w:val="24"/>
        </w:rPr>
        <w:t xml:space="preserve">2017 - SWCD Local Capacity Services (Renville SWCD) </w:t>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r>
        <w:rPr>
          <w:rFonts w:asciiTheme="majorHAnsi" w:hAnsiTheme="majorHAnsi"/>
          <w:b w:val="on"/>
          <w:color w:val="548dd4" w:themeColor="text2" w:themeTint="99"/>
          <w:sz w:val="24"/>
          <w:szCs w:val="24"/>
        </w:rPr>
        <w:t xml:space="preserve">Grant ID </w:t>
      </w:r>
      <w:r>
        <w:rPr>
          <w:rFonts w:asciiTheme="majorHAnsi" w:hAnsiTheme="majorHAnsi"/>
          <w:color w:val="548dd4" w:themeColor="text2" w:themeTint="99"/>
          <w:sz w:val="24"/>
          <w:szCs w:val="24"/>
        </w:rPr>
        <w:t xml:space="preserve">- P17-1342</w:t>
      </w:r>
    </w:p>
    <w:p>
      <w:pPr>
        <w:widowControl w:val="off"/>
        <w:pBdr>
          <w:top w:val="nil"/>
          <w:left w:val="nil"/>
          <w:bottom w:val="nil"/>
          <w:right w:val="nil"/>
          <w:between w:val="nil"/>
        </w:pBdr>
        <w:spacing w:after="0"/>
        <w:rPr>
          <w:rFonts w:asciiTheme="majorHAnsi" w:hAnsiTheme="majorHAnsi"/>
          <w:color w:val="548dd4" w:themeColor="text2" w:themeTint="99"/>
          <w:sz w:val="20"/>
          <w:szCs w:val="20"/>
        </w:rPr>
      </w:pPr>
      <w:r>
        <w:rPr>
          <w:rFonts w:asciiTheme="majorHAnsi" w:hAnsiTheme="majorHAnsi"/>
          <w:b w:val="on"/>
          <w:color w:val="548dd4" w:themeColor="text2" w:themeTint="99"/>
          <w:sz w:val="24"/>
          <w:szCs w:val="24"/>
        </w:rPr>
        <w:t xml:space="preserve">Organization - </w:t>
      </w:r>
      <w:r>
        <w:rPr>
          <w:rFonts w:asciiTheme="majorHAnsi" w:hAnsiTheme="majorHAnsi"/>
          <w:color w:val="548dd4" w:themeColor="text2" w:themeTint="99"/>
          <w:sz w:val="24"/>
          <w:szCs w:val="24"/>
        </w:rPr>
        <w:t xml:space="preserve">Renville SWCD</w:t>
      </w:r>
      <w:r>
        <w:rPr>
          <w:rFonts w:asciiTheme="majorHAnsi" w:hAnsiTheme="majorHAnsi"/>
          <w:color w:val="548dd4" w:themeColor="text2" w:themeTint="99"/>
          <w:sz w:val="20"/>
          <w:szCs w:val="20"/>
        </w:rPr>
        <w:tab/>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tbl>
      <w:tblPr>
        <w:tblStyle w:val="LightGrid-Accent1"/>
        <w:tblW w:w="5001"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3001"/>
        <w:gridCol w:w="4508"/>
        <w:gridCol w:w="3093"/>
        <w:gridCol w:w="3800"/>
      </w:tblGrid>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Original Awarded Amount</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inorHAnsi" w:hAnsiTheme="minorHAnsi"/>
                <w:b w:val="off"/>
              </w:rPr>
            </w:pPr>
            <w:r>
              <w:rPr/>
              <w:t xml:space="preserve">$118,000.00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Grant Execution Date</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inorHAnsi" w:hAnsiTheme="minorHAnsi"/>
                <w:b w:val="off"/>
              </w:rPr>
            </w:pPr>
            <w:r>
              <w:rPr/>
              <w:t xml:space="preserve">3/21/2017</w:t>
            </w:r>
          </w:p>
        </w:tc>
      </w:tr>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Required Match Amount</w:t>
            </w:r>
          </w:p>
        </w:tc>
        <w:tc>
          <w:tcPr>
            <w:tcW w:w="1542"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$0.00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Original Grant End Date</w:t>
            </w:r>
          </w:p>
        </w:tc>
        <w:tc>
          <w:tcPr>
            <w:tcW w:w="137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12/31/2019</w:t>
            </w:r>
          </w:p>
        </w:tc>
      </w:tr>
      <w:tr>
        <w:trPr>
          <w:trHeight w:val="61" w:hRule="atLeast"/>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Required Match %</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Grant Day To Day Contact</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Holly  Hatlewick</w:t>
            </w:r>
          </w:p>
        </w:tc>
      </w:tr>
      <w:tr>
        <w:trPr>
          <w:trHeight w:val="61" w:hRule="atLeast"/>
        </w:trPr>
        <w:tc>
          <w:tcPr>
            <w:tcW w:w="102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Current Awarded Amount</w:t>
            </w:r>
          </w:p>
        </w:tc>
        <w:tc>
          <w:tcPr>
            <w:tcW w:w="1542"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widowControl w:val="off"/>
              <w:pBdr>
                <w:top w:val="nil"/>
                <w:left w:val="nil"/>
                <w:bottom w:val="nil"/>
                <w:right w:val="nil"/>
                <w:between w:val="nil"/>
              </w:pBdr>
              <w:rPr/>
            </w:pPr>
            <w:r>
              <w:rPr/>
              <w:t xml:space="preserve">$118,000.00</w:t>
            </w:r>
          </w:p>
        </w:tc>
        <w:tc>
          <w:tcPr>
            <w:tcW w:w="1058"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Current End Date</w:t>
            </w:r>
          </w:p>
        </w:tc>
        <w:tc>
          <w:tcPr>
            <w:tcW w:w="1374"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12/31/2019</w:t>
            </w:r>
          </w:p>
        </w:tc>
      </w:tr>
    </w:tbl>
    <w:p>
      <w:pPr>
        <w:pStyle w:val="Heading2"/>
        <w:pBdr>
          <w:top w:val="nil"/>
          <w:left w:val="nil"/>
          <w:bottom w:val="nil"/>
          <w:right w:val="nil"/>
          <w:between w:val="nil"/>
        </w:pBdr>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n" w:noVBand="off"/>
      </w:tblPr>
      <w:tblGrid>
        <w:gridCol w:w="2976"/>
        <w:gridCol w:w="2571"/>
        <w:gridCol w:w="2494"/>
        <w:gridCol w:w="2439"/>
      </w:tblGrid>
      <w:tr>
        <w:trPr/>
        <w:tc>
          <w:tcPr>
            <w:tcW w:w="1411"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ff"/>
                <w:color w:val="ffffff" w:themeColor="background1"/>
              </w:rPr>
            </w:pPr>
          </w:p>
        </w:tc>
        <w:tc>
          <w:tcPr>
            <w:tcW w:w="1220"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Budgeted</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Spent</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jc w:val="center"/>
              <w:rPr>
                <w:rFonts w:asciiTheme="minorHAnsi" w:hAnsiTheme="minorHAnsi"/>
                <w:b w:val="off"/>
                <w:color w:val="ffffff" w:themeColor="background1"/>
              </w:rPr>
            </w:pPr>
            <w:r>
              <w:rPr>
                <w:rFonts w:asciiTheme="minorHAnsi" w:hAnsiTheme="minorHAnsi"/>
                <w:color w:val="ffffff" w:themeColor="background1"/>
              </w:rPr>
              <w:t xml:space="preserve">Balance Remaining*</w:t>
            </w:r>
          </w:p>
        </w:tc>
      </w:tr>
      <w:tr>
        <w:trPr>
          <w:trHeight w:val="60"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Total Grant Amount</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$118,000.00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$107,316.69</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$10,683.31</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Total Match Amount</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$18,000.00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$18,000.00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Total Other Funds</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b w:val="on"/>
              </w:rPr>
            </w:pPr>
            <w:r>
              <w:rPr>
                <w:b w:val="on"/>
              </w:rPr>
              <w:t xml:space="preserve">Total</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$136,000.00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$125,316.69</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$10,683.31</w:t>
            </w:r>
          </w:p>
        </w:tc>
      </w:tr>
    </w:tbl>
    <w:p>
      <w:pPr>
        <w:pBdr>
          <w:top w:val="nil"/>
          <w:left w:val="nil"/>
          <w:bottom w:val="nil"/>
          <w:right w:val="nil"/>
          <w:between w:val="nil"/>
        </w:pBdr>
        <w:rPr>
          <w:i w:val="on"/>
          <w:color w:val="4f81bd" w:themeColor="accent1"/>
          <w:sz w:val="20"/>
          <w:szCs w:val="20"/>
        </w:rPr>
      </w:pPr>
      <w:r>
        <w:rPr>
          <w:i w:val="on"/>
          <w:color w:val="4f81bd" w:themeColor="accent1"/>
          <w:sz w:val="20"/>
          <w:szCs w:val="20"/>
        </w:rPr>
        <w:t xml:space="preserve">*Grant balance remaining is the difference between the Awarded Amount and the Spent Amount. Other values compare budgeted and spent amounts.</w:t>
      </w:r>
    </w:p>
    <w:p>
      <w:pPr>
        <w:pStyle w:val="Heading2"/>
        <w:pBdr>
          <w:top w:val="nil"/>
          <w:left w:val="nil"/>
          <w:bottom w:val="nil"/>
          <w:right w:val="nil"/>
          <w:between w:val="nil"/>
        </w:pBdr>
        <w:spacing w:line="360" w:lineRule="auto"/>
        <w:rPr>
          <w:b w:val="off"/>
          <w:sz w:val="24"/>
          <w:szCs w:val="24"/>
        </w:rPr>
      </w:pPr>
      <w:r>
        <w:rPr>
          <w:sz w:val="24"/>
          <w:szCs w:val="24"/>
        </w:rPr>
        <w:t xml:space="preserve">Budget Details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ayout w:type="fixed"/>
        <w:tblLook w:firstRow="on" w:lastRow="off" w:firstColumn="off" w:lastColumn="off" w:noHBand="on" w:noVBand="off"/>
      </w:tblPr>
      <w:tblGrid>
        <w:gridCol w:w="3528"/>
        <w:gridCol w:w="1619"/>
        <w:gridCol w:w="1351"/>
        <w:gridCol w:w="3061"/>
        <w:gridCol w:w="1351"/>
        <w:gridCol w:w="1257"/>
        <w:gridCol w:w="1353"/>
        <w:gridCol w:w="880"/>
      </w:tblGrid>
      <w:tr>
        <w:trPr>
          <w:cantSplit w:val="on"/>
          <w:tblHeader w:val="on"/>
        </w:trPr>
        <w:tc>
          <w:tcPr>
            <w:tcW w:w="120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Activity Name</w:t>
            </w:r>
          </w:p>
        </w:tc>
        <w:tc>
          <w:tcPr>
            <w:tcW w:w="554"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Activity Category</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Type</w:t>
            </w:r>
          </w:p>
        </w:tc>
        <w:tc>
          <w:tcPr>
            <w:tcW w:w="104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Description</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Budgeted</w:t>
            </w:r>
          </w:p>
        </w:tc>
        <w:tc>
          <w:tcPr>
            <w:tcW w:w="430"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Spent</w:t>
            </w:r>
          </w:p>
        </w:tc>
        <w:tc>
          <w:tcPr>
            <w:tcW w:w="463"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Last Transaction Date</w:t>
            </w:r>
          </w:p>
        </w:tc>
        <w:tc>
          <w:tcPr>
            <w:tcW w:w="375"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Matching Fund</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Resource and Grant Adminstration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Administration/Coordination</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2017 - SWCD Local Capacity Services (Renville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$38,934.59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$38,604.90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12/28/2018</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Riparian Zone Management - 2017 Technician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Technical/Engineering Assistance</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2017 - SWCD Local Capacity Services (Renville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$16,241.24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$16,241.24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r>
              <w:rPr/>
              <w:t xml:space="preserve">12/28/2018</w:t>
            </w: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Riparian Zone Management- 2017 Equipment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Supplies/Equipment</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Local Fund</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Additional County Funds </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$15,375.00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$15,375.00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9/30/2017</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Y</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Riparian Zone Management- 2017 Training/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Administration/Coordination</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Local Fund</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Additional County Funds</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$2,625.00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$2,625.00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r>
              <w:rPr/>
              <w:t xml:space="preserve">9/30/2017</w:t>
            </w: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Y</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Soil Eosion- 2017 Technology/Capital Expenditure/Equipment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Supplies/Equipment</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2017 - SWCD Local Capacity Services (Renville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$21,324.17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$21,324.17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3/28/2017</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Soil Erosion -2017 Financial Assistance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Agricultural Practices</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2017 - SWCD Local Capacity Services (Renville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$10,000.00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Soil Erosion- 2017 Technician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Agricultural Practices</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2017 - SWCD Local Capacity Services (Renville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$2,100.00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$1,746.38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12/28/2018</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Water Storage and Treatment- 2017/2018 Technician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Planning and Assessment</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2017 - SWCD Local Capacity Services (Renville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$29,400.00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$29,400.00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r>
              <w:rPr/>
              <w:t xml:space="preserve">12/28/2018</w:t>
            </w: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bl>
    <w:p>
      <w:pPr>
        <w:pStyle w:val="Heading2"/>
        <w:pBdr>
          <w:top w:val="nil"/>
          <w:left w:val="nil"/>
          <w:bottom w:val="nil"/>
          <w:right w:val="nil"/>
          <w:between w:val="nil"/>
        </w:pBdr>
        <w:spacing w:before="0" w:line="360" w:lineRule="auto"/>
        <w:rPr>
          <w:b w:val="off"/>
          <w:sz w:val="20"/>
          <w:szCs w:val="20"/>
        </w:rPr>
      </w:pPr>
      <w:r>
        <w:rPr>
          <w:b w:val="off"/>
          <w:sz w:val="20"/>
          <w:szCs w:val="20"/>
        </w:rPr>
        <w:t xml:space="preserve"> </w:t>
      </w:r>
    </w:p>
    <w:p>
      <w:pPr>
        <w:pBdr>
          <w:top w:val="nil"/>
          <w:left w:val="nil"/>
          <w:bottom w:val="nil"/>
          <w:right w:val="nil"/>
          <w:between w:val="nil"/>
        </w:pBdr>
        <w:spacing w:after="0"/>
        <w:rPr>
          <w:rFonts w:asciiTheme="majorHAnsi" w:hAnsiTheme="majorHAnsi"/>
        </w:rPr>
      </w:pPr>
    </w:p>
    <w:p>
      <w:pPr>
        <w:pStyle w:val="Heading2"/>
        <w:pBdr>
          <w:top w:val="nil"/>
          <w:left w:val="nil"/>
          <w:bottom w:val="nil"/>
          <w:right w:val="nil"/>
          <w:between w:val="nil"/>
        </w:pBdr>
        <w:spacing w:before="0" w:line="360" w:lineRule="auto"/>
        <w:rPr>
          <w:sz w:val="24"/>
          <w:szCs w:val="24"/>
        </w:rPr>
      </w:pPr>
      <w:r>
        <w:rPr>
          <w:sz w:val="24"/>
          <w:szCs w:val="24"/>
        </w:rPr>
        <w:t xml:space="preserve">Activity Details Summary</w:t>
      </w:r>
    </w:p>
    <w:tbl>
      <w:tblPr>
        <w:tblStyle w:val="LightGrid-Accent1"/>
        <w:tblW w:w="5000" w:type="pct"/>
        <w:tblLook w:firstRow="on" w:lastRow="off" w:firstColumn="on" w:lastColumn="off" w:noHBand="on" w:noVBand="off"/>
      </w:tblPr>
      <w:tblGrid>
        <w:gridCol w:w="3685"/>
        <w:gridCol w:w="2035"/>
        <w:gridCol w:w="2564"/>
        <w:gridCol w:w="3166"/>
        <w:gridCol w:w="2950"/>
      </w:tblGrid>
      <w:tr>
        <w:trPr>
          <w:cantSplit w:val="on"/>
          <w:trHeight w:val="286" w:hRule="atLeast"/>
          <w:tblHeader w:val="on"/>
        </w:trPr>
        <w:tc>
          <w:tcPr>
            <w:tcW w:w="1261"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Activity Details</w:t>
            </w:r>
          </w:p>
        </w:tc>
        <w:tc>
          <w:tcPr>
            <w:tcW w:w="696"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Action Count </w:t>
            </w:r>
          </w:p>
        </w:tc>
        <w:tc>
          <w:tcPr>
            <w:tcW w:w="877"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Activity Mapped  </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Proposed Size / Unit</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color w:val="ffffff" w:themeColor="background1"/>
              </w:rPr>
            </w:pPr>
            <w:r>
              <w:rPr>
                <w:rFonts w:asciiTheme="minorHAnsi" w:hAnsiTheme="minorHAnsi"/>
                <w:color w:val="ffffff" w:themeColor="background1"/>
              </w:rPr>
              <w:t xml:space="preserve">Actual Size / Unit</w:t>
            </w:r>
          </w:p>
        </w:tc>
      </w:tr>
      <w:tr>
        <w:trPr>
          <w:cantSplit w:val="on"/>
        </w:trPr>
        <w:tc>
          <w:tcPr>
            <w:tcW w:w="1261"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b w:val="off"/>
              </w:rPr>
              <w:t xml:space="preserve"> 587 - Structure for Water Control</w:t>
            </w:r>
          </w:p>
        </w:tc>
        <w:tc>
          <w:tcPr>
            <w:tcW w:w="69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16,000</w:t>
            </w:r>
          </w:p>
        </w:tc>
        <w:tc>
          <w:tcPr>
            <w:tcW w:w="877"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3  COUNT</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jc w:val="center"/>
              <w:rPr>
                <w:rFonts w:cstheme="majorBidi"/>
                <w:bCs w:val="on"/>
              </w:rPr>
            </w:pPr>
            <w:r>
              <w:rPr>
                <w:rFonts w:cstheme="majorBidi"/>
              </w:rPr>
              <w:t xml:space="preserve">  COUNT</w:t>
            </w:r>
          </w:p>
        </w:tc>
      </w:tr>
    </w:tbl>
    <w:p>
      <w:pPr>
        <w:pBdr>
          <w:top w:val="nil"/>
          <w:left w:val="nil"/>
          <w:bottom w:val="nil"/>
          <w:right w:val="nil"/>
          <w:between w:val="nil"/>
        </w:pBdr>
        <w:spacing w:after="0" w:line="360" w:lineRule="auto"/>
        <w:rPr>
          <w:rFonts w:asciiTheme="majorHAnsi" w:hAnsiTheme="majorHAnsi"/>
          <w:sz w:val="20"/>
          <w:szCs w:val="20"/>
        </w:rPr>
      </w:pPr>
      <w:r>
        <w:rPr>
          <w:rFonts w:asciiTheme="majorHAnsi" w:hAnsiTheme="majorHAnsi"/>
          <w:sz w:val="20"/>
          <w:szCs w:val="20"/>
        </w:rPr>
        <w:t xml:space="preserve">  </w:t>
      </w:r>
    </w:p>
    <w:p>
      <w:pPr>
        <w:pBdr>
          <w:top w:val="nil"/>
          <w:left w:val="nil"/>
          <w:bottom w:val="nil"/>
          <w:right w:val="nil"/>
          <w:between w:val="nil"/>
        </w:pBdr>
        <w:spacing w:after="0" w:line="360" w:lineRule="auto"/>
        <w:rPr>
          <w:rFonts w:asciiTheme="majorHAnsi" w:hAnsiTheme="majorHAnsi"/>
          <w:b w:val="on"/>
          <w:sz w:val="20"/>
          <w:szCs w:val="20"/>
        </w:rPr>
      </w:pPr>
    </w:p>
    <w:p>
      <w:pPr>
        <w:pBdr>
          <w:top w:val="nil"/>
          <w:left w:val="nil"/>
          <w:bottom w:val="nil"/>
          <w:right w:val="nil"/>
          <w:between w:val="nil"/>
        </w:pBdr>
        <w:rPr/>
      </w:pPr>
      <w:r>
        <w:rPr>
          <w:rFonts w:asciiTheme="majorHAnsi" w:hAnsiTheme="majorHAnsi"/>
          <w:b w:val="on"/>
          <w:color w:val="4f81bd" w:themeColor="accent1"/>
          <w:sz w:val="24"/>
          <w:szCs w:val="24"/>
        </w:rPr>
        <w:t xml:space="preserve">Proposed Activity Indicators</w:t>
      </w:r>
    </w:p>
    <w:tbl>
      <w:tblPr>
        <w:tblStyle w:val="LightGrid-Accent1"/>
        <w:tblW w:w="14598" w:type="auto"/>
        <w:tblBorders>
          <w:top w:val="single" w:sz="6" w:color="4f81bd" w:themeColor="accent1"/>
          <w:left w:val="single" w:sz="6" w:color="4f81bd" w:themeColor="accent1"/>
          <w:bottom w:val="single" w:sz="6" w:color="4f81bd" w:themeColor="accent1"/>
          <w:right w:val="single" w:sz="6" w:color="4f81bd" w:themeColor="accent1"/>
          <w:insideH w:val="single" w:sz="6" w:color="4f81bd" w:themeColor="accent1"/>
          <w:insideV w:val="single" w:sz="6" w:color="4f81bd" w:themeColor="accent1"/>
        </w:tblBorders>
        <w:tblLayout w:type="fixed"/>
        <w:tblLook w:firstRow="off" w:lastRow="off" w:firstColumn="on" w:lastColumn="off" w:noHBand="on" w:noVBand="off"/>
      </w:tblPr>
      <w:tblGrid>
        <w:gridCol w:w="2718"/>
        <w:gridCol w:w="2970"/>
        <w:gridCol w:w="2160"/>
        <w:gridCol w:w="1710"/>
        <w:gridCol w:w="2016"/>
        <w:gridCol w:w="3024"/>
      </w:tblGrid>
      <w:tr>
        <w:trPr>
          <w:cantSplit w:val="on"/>
          <w:tblHeader w:val="on"/>
        </w:trPr>
        <w:tc>
          <w:tcPr>
            <w:tcW w:w="2718"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color w:val="ffffff" w:themeColor="background1"/>
              </w:rPr>
            </w:pPr>
            <w:r>
              <w:rPr>
                <w:color w:val="ffffff" w:themeColor="background1"/>
              </w:rPr>
              <w:t xml:space="preserve">Activity Name</w:t>
            </w:r>
          </w:p>
        </w:tc>
        <w:tc>
          <w:tcPr>
            <w:tcW w:w="297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Indicator Name</w:t>
            </w:r>
          </w:p>
        </w:tc>
        <w:tc>
          <w:tcPr>
            <w:tcW w:w="216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Value &amp; Units</w:t>
            </w:r>
          </w:p>
        </w:tc>
        <w:tc>
          <w:tcPr>
            <w:tcW w:w="171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Waterbody</w:t>
            </w:r>
          </w:p>
        </w:tc>
        <w:tc>
          <w:tcPr>
            <w:tcW w:w="2016"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Calculation Tool</w:t>
            </w:r>
          </w:p>
        </w:tc>
        <w:tc>
          <w:tcPr>
            <w:tcW w:w="3024"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Comments</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4"/>
          <w:szCs w:val="24"/>
        </w:rPr>
      </w:pPr>
      <w:r>
        <w:rPr>
          <w:sz w:val="24"/>
          <w:szCs w:val="24"/>
        </w:rPr>
        <w:t xml:space="preserve">Final Indicators Summary</w:t>
      </w:r>
    </w:p>
    <w:tbl>
      <w:tblPr>
        <w:tblStyle w:val="MediumShading1-Accent1"/>
        <w:tblW w:w="3617"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5044"/>
        <w:gridCol w:w="2427"/>
        <w:gridCol w:w="2945"/>
      </w:tblGrid>
      <w:tr>
        <w:trPr>
          <w:trHeight w:val="286" w:hRule="atLeast"/>
        </w:trPr>
        <w:tc>
          <w:tcPr>
            <w:tcW w:w="222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Indicator Name</w:t>
            </w:r>
          </w:p>
        </w:tc>
        <w:tc>
          <w:tcPr>
            <w:tcW w:w="1228"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Total Value </w:t>
            </w:r>
          </w:p>
        </w:tc>
        <w:tc>
          <w:tcPr>
            <w:tcW w:w="1547"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Unit  </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0"/>
          <w:szCs w:val="20"/>
        </w:rPr>
      </w:pPr>
      <w:r>
        <w:rPr>
          <w:sz w:val="24"/>
          <w:szCs w:val="24"/>
        </w:rPr>
        <w:t xml:space="preserve">Grant Activity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Resource and Grant Adminstration</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SWCD Administrator will over see capacity funds and assure proper utilization of funds prioritize, and enhance the SWCD capacity to increase deliverable services to Renville county.  500 hours at a billable rate of $39.32, will be utilized. 
</w:t>
            </w:r>
          </w:p>
          <w:p>
            <w:pPr>
              <w:keepNext w:val="on"/>
              <w:keepLines w:val="on"/>
              <w:widowControl w:val="off"/>
              <w:pBdr>
                <w:top w:val="nil"/>
                <w:left w:val="nil"/>
                <w:bottom w:val="nil"/>
                <w:right w:val="nil"/>
                <w:between w:val="nil"/>
              </w:pBdr>
              <w:spacing w:line="276" w:lineRule="auto"/>
              <w:rPr/>
            </w:pPr>
            <w:r>
              <w:rPr/>
              <w:t xml:space="preserve">11/23/18 added $11,758.765 to budget from Riparian Zone Management-2017 Technical . Added $7575.83 from Soil Erosion 2017 Technology/Capital Expenditure/Equipment as the funds are no longer needed in 2018 or 2019 to secure a new computer network.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ADMINISTRATION/COORDINATION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No</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12/31/17
</w:t>
            </w:r>
          </w:p>
          <w:p>
            <w:pPr>
              <w:keepNext w:val="on"/>
              <w:keepLines w:val="on"/>
              <w:widowControl w:val="off"/>
              <w:pBdr>
                <w:top w:val="nil"/>
                <w:left w:val="nil"/>
                <w:bottom w:val="nil"/>
                <w:right w:val="nil"/>
                <w:between w:val="nil"/>
              </w:pBdr>
              <w:spacing w:line="276" w:lineRule="auto"/>
              <w:rPr/>
            </w:pPr>
            <w:r>
              <w:rPr/>
              <w:t xml:space="preserve">District Manager charged 12.50 hours at a billable rate of $39.32 totaling $491.50 administering 17 local capacity grant.
</w:t>
            </w:r>
          </w:p>
          <w:p>
            <w:pPr>
              <w:keepNext w:val="on"/>
              <w:keepLines w:val="on"/>
              <w:widowControl w:val="off"/>
              <w:pBdr>
                <w:top w:val="nil"/>
                <w:left w:val="nil"/>
                <w:bottom w:val="nil"/>
                <w:right w:val="nil"/>
                <w:between w:val="nil"/>
              </w:pBdr>
              <w:spacing w:line="276" w:lineRule="auto"/>
              <w:rPr/>
            </w:pPr>
            <w:r>
              <w:rPr/>
              <w:t xml:space="preserve">11/30/18 updated 2017 Billable rate per ok of Maul &amp; Krebs 12.5 hours billed at $53.43=$667.875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1/28/18 
</w:t>
            </w:r>
          </w:p>
          <w:p>
            <w:pPr>
              <w:keepNext w:val="on"/>
              <w:keepLines w:val="on"/>
              <w:widowControl w:val="off"/>
              <w:pBdr>
                <w:top w:val="nil"/>
                <w:left w:val="nil"/>
                <w:bottom w:val="nil"/>
                <w:right w:val="nil"/>
                <w:between w:val="nil"/>
              </w:pBdr>
              <w:spacing w:line="276" w:lineRule="auto"/>
              <w:rPr/>
            </w:pPr>
            <w:r>
              <w:rPr/>
              <w:t xml:space="preserve">District Administrator charged 697.5 hours at a billable rate of $54.39 totaling $37,937.03, administrating the 2017 local capacity grant.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Riparian Zone Management - 2017 Technician</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Riparian Zone Management -2017 Technician- May 2016 a technician was hired using 2016 Local Capacity funds to add in all aspects of current and future programs.  We have seen a significant increase workload related to the Buffer law and programs that closely relate to Buffers. We are anticipating a large CREP signup in the county, resulting in continued increased workload.   1000 hours of a positions will be funded through Riparian Mgmt to reduce soil erosion in the county at a billable rate of $28.  Technical staff is essential in implementing the Renville County Comprehensive Local Water Management Plan , which has been adopted by the Renville County SWCD.  
</w:t>
            </w:r>
          </w:p>
          <w:p>
            <w:pPr>
              <w:keepNext w:val="on"/>
              <w:keepLines w:val="on"/>
              <w:widowControl w:val="off"/>
              <w:pBdr>
                <w:top w:val="nil"/>
                <w:left w:val="nil"/>
                <w:bottom w:val="nil"/>
                <w:right w:val="nil"/>
                <w:between w:val="nil"/>
              </w:pBdr>
              <w:spacing w:line="276" w:lineRule="auto"/>
              <w:rPr/>
            </w:pPr>
            <w:r>
              <w:rPr/>
              <w:t xml:space="preserve">11/23/18 moved unused fund balance of $11,758.765 to Resource Grant Administration.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TECHNICAL/ENGINEERING ASSISTANCE</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Outreach Coordinator/District Tech worked 15 hours at a billable rate of $26.28 totaling $394.20 working closely with the buffer law, outreach events and technical work with customers.
</w:t>
            </w:r>
          </w:p>
          <w:p>
            <w:pPr>
              <w:keepNext w:val="on"/>
              <w:keepLines w:val="on"/>
              <w:widowControl w:val="off"/>
              <w:pBdr>
                <w:top w:val="nil"/>
                <w:left w:val="nil"/>
                <w:bottom w:val="nil"/>
                <w:right w:val="nil"/>
                <w:between w:val="nil"/>
              </w:pBdr>
              <w:spacing w:line="276" w:lineRule="auto"/>
              <w:rPr/>
            </w:pPr>
            <w:r>
              <w:rPr/>
              <w:t xml:space="preserve">11/23/18 updated 2017 billable rate per Maul &amp; Krebs approval, 15 hours worked in 2017 billed at $38.76 = 581.40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1/28/19
</w:t>
            </w:r>
          </w:p>
          <w:p>
            <w:pPr>
              <w:keepNext w:val="on"/>
              <w:keepLines w:val="on"/>
              <w:widowControl w:val="off"/>
              <w:pBdr>
                <w:top w:val="nil"/>
                <w:left w:val="nil"/>
                <w:bottom w:val="nil"/>
                <w:right w:val="nil"/>
                <w:between w:val="nil"/>
              </w:pBdr>
              <w:spacing w:line="276" w:lineRule="auto"/>
              <w:rPr/>
            </w:pPr>
            <w:r>
              <w:rPr/>
              <w:t xml:space="preserve">Outreach Coordinator/District Tech worked 388.10 hours at a billable rate of $40.35 totaling $15,659.84 working closely with the buffer law, outreach events and technical work with customers.
</w:t>
            </w:r>
          </w:p>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Riparian Zone Management- 2017 Equipment</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Riparian Zone Management- 2017 Equipment. An additional $18,000.00 in Local Funding was provided by the County, these funds have been allocated to purchase a third of a Rainfall simulator. The Rainfall simulator will be owned by Renville, Redwood and McLeod SWCD’s.  $6000.00 of this $18,000.00 will be put toward purchasing Renville’s portion of the simulator.   $7448.00 will be put toward purchasing a native grass drill that can also be adapted to seeding small grain and cover crops. $25337.00 of FY16 Capacity Funds will also be utilized in the purchase of the drill. The total drill cost will be $32,785.00. $1000.00 will be utilized to purchase a floor jack, tools, spare tire and grease gun in order to assure proper maintenance of our new equipment. 
</w:t>
            </w:r>
          </w:p>
          <w:p>
            <w:pPr>
              <w:keepNext w:val="on"/>
              <w:keepLines w:val="on"/>
              <w:widowControl w:val="off"/>
              <w:pBdr>
                <w:top w:val="nil"/>
                <w:left w:val="nil"/>
                <w:bottom w:val="nil"/>
                <w:right w:val="nil"/>
                <w:between w:val="nil"/>
              </w:pBdr>
              <w:spacing w:line="276" w:lineRule="auto"/>
              <w:rPr/>
            </w:pPr>
            <w:r>
              <w:rPr/>
              <w:t xml:space="preserve">The SWCD purchasing conservation equipment will help streamline the install of BMP’s that identified in the Renville County Comprehensive Local Water Management Plan,  which has been adopted by the Renville SWCD. 
</w:t>
            </w:r>
          </w:p>
          <w:p>
            <w:pPr>
              <w:keepNext w:val="on"/>
              <w:keepLines w:val="on"/>
              <w:widowControl w:val="off"/>
              <w:pBdr>
                <w:top w:val="nil"/>
                <w:left w:val="nil"/>
                <w:bottom w:val="nil"/>
                <w:right w:val="nil"/>
                <w:between w:val="nil"/>
              </w:pBdr>
              <w:spacing w:line="276" w:lineRule="auto"/>
              <w:rPr/>
            </w:pP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SUPPLIES/EQUIPMENT</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10/18/17 3rd quarter reporting 
</w:t>
            </w:r>
          </w:p>
          <w:p>
            <w:pPr>
              <w:keepNext w:val="on"/>
              <w:keepLines w:val="on"/>
              <w:widowControl w:val="off"/>
              <w:pBdr>
                <w:top w:val="nil"/>
                <w:left w:val="nil"/>
                <w:bottom w:val="nil"/>
                <w:right w:val="nil"/>
                <w:between w:val="nil"/>
              </w:pBdr>
              <w:spacing w:line="276" w:lineRule="auto"/>
              <w:rPr/>
            </w:pPr>
            <w:r>
              <w:rPr/>
              <w:t xml:space="preserve">$6731.47  1/3 of purchase price of rainfall simulator 
</w:t>
            </w:r>
          </w:p>
          <w:p>
            <w:pPr>
              <w:keepNext w:val="on"/>
              <w:keepLines w:val="on"/>
              <w:widowControl w:val="off"/>
              <w:pBdr>
                <w:top w:val="nil"/>
                <w:left w:val="nil"/>
                <w:bottom w:val="nil"/>
                <w:right w:val="nil"/>
                <w:between w:val="nil"/>
              </w:pBdr>
              <w:spacing w:line="276" w:lineRule="auto"/>
              <w:rPr/>
            </w:pPr>
            <w:r>
              <w:rPr/>
              <w:t xml:space="preserve">$7448.00 toward the native grass drill purchase (also used 2016 &amp; 2017 state local capacity funds to purchase the drill for a total of $32,785.00)
</w:t>
            </w:r>
          </w:p>
          <w:p>
            <w:pPr>
              <w:keepNext w:val="on"/>
              <w:keepLines w:val="on"/>
              <w:widowControl w:val="off"/>
              <w:pBdr>
                <w:top w:val="nil"/>
                <w:left w:val="nil"/>
                <w:bottom w:val="nil"/>
                <w:right w:val="nil"/>
                <w:between w:val="nil"/>
              </w:pBdr>
              <w:spacing w:line="276" w:lineRule="auto"/>
              <w:rPr/>
            </w:pPr>
            <w:r>
              <w:rPr/>
              <w:t xml:space="preserve"> $ 1,338.95 floor jack, supplies and tools for drill and simulator.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Riparian Zone Management- 2017 Training/</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Riparian Zone Management- 2017 Training- funds will be utilized to obtain additional team building and workplace efficiency  training for SWCD staff. training will focus on teamwork, communication and organizational strategies. this additional training will improve the SWCD's efficiency in achieving goals and objective outline in County and SWCD Local Water Plan.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ADMINISTRATION/COORDINATION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3rd qt reporting 10/18/17
</w:t>
            </w:r>
          </w:p>
          <w:p>
            <w:pPr>
              <w:keepNext w:val="on"/>
              <w:keepLines w:val="on"/>
              <w:widowControl w:val="off"/>
              <w:pBdr>
                <w:top w:val="nil"/>
                <w:left w:val="nil"/>
                <w:bottom w:val="nil"/>
                <w:right w:val="nil"/>
                <w:between w:val="nil"/>
              </w:pBdr>
              <w:spacing w:line="276" w:lineRule="auto"/>
              <w:rPr/>
            </w:pPr>
            <w:r>
              <w:rPr/>
              <w:t xml:space="preserve">$2625.00 staff development training provided by SWWC . topics included workplace efficacy, teamwork, and re-writing the SWCD mission statement to reflect our increase capacity and deliverables.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Soil Eosion- 2017 Technology/Capital Expenditure/Equipment</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Soil Eosion- 2017 Technology/Capital Expenditure- The SWCD will need to purchase a server, computers and hardwire our building to permit us to obtain our own non USDA shared computer network access. These updated are estimated at $11,000, $7348.00 of these updated will be 2017 Local Capacity additional funds needed for this updated will be utilized from another source. The SWCD is planning to rebrand it self in 2017. We plan to change our local image, public perceptions and symbols, we anticipate $1000 to assist with update.  The SWCD staying up to date with technology will help streamline the install of BMP’s that identified in the Renville County Comprehensive Local Water Management Plan, which has been adopted by the Renville SWCD. The SWCD will use $20,552.00 of these funds toward the purchase of a native grass drill, $7448.00 from Riparian Zone Management Additional County Funds, $2337.00 from 2016 Local Capacity funds, plus $2605.17 in District funds total drill cost will be $32,942.17. 
</w:t>
            </w:r>
          </w:p>
          <w:p>
            <w:pPr>
              <w:keepNext w:val="on"/>
              <w:keepLines w:val="on"/>
              <w:widowControl w:val="off"/>
              <w:pBdr>
                <w:top w:val="nil"/>
                <w:left w:val="nil"/>
                <w:bottom w:val="nil"/>
                <w:right w:val="nil"/>
                <w:between w:val="nil"/>
              </w:pBdr>
              <w:spacing w:line="276" w:lineRule="auto"/>
              <w:rPr/>
            </w:pPr>
            <w:r>
              <w:rPr/>
              <w:t xml:space="preserve">11/23/18 remaining funds of $7575.83 move to Resource and Grant Administration as the District decided they will stay on the USDA network for the remained of 2018 &amp; 2019.</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SUPPLIES/EQUIPMENT</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No</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2017- expenditures 
</w:t>
            </w:r>
          </w:p>
          <w:p>
            <w:pPr>
              <w:keepNext w:val="on"/>
              <w:keepLines w:val="on"/>
              <w:widowControl w:val="off"/>
              <w:pBdr>
                <w:top w:val="nil"/>
                <w:left w:val="nil"/>
                <w:bottom w:val="nil"/>
                <w:right w:val="nil"/>
                <w:between w:val="nil"/>
              </w:pBdr>
              <w:spacing w:line="276" w:lineRule="auto"/>
              <w:rPr/>
            </w:pPr>
            <w:r>
              <w:rPr/>
              <w:t xml:space="preserve">$20,552.00 utilized to purchase native grass drill
</w:t>
            </w:r>
          </w:p>
          <w:p>
            <w:pPr>
              <w:keepNext w:val="on"/>
              <w:keepLines w:val="on"/>
              <w:widowControl w:val="off"/>
              <w:pBdr>
                <w:top w:val="nil"/>
                <w:left w:val="nil"/>
                <w:bottom w:val="nil"/>
                <w:right w:val="nil"/>
                <w:between w:val="nil"/>
              </w:pBdr>
              <w:spacing w:line="276" w:lineRule="auto"/>
              <w:rPr/>
            </w:pPr>
            <w:r>
              <w:rPr/>
              <w:t xml:space="preserve">$772.17 used  to design and embroidering the new SWCD logo onto promotional items, as part of the SWCD rebranding.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Soil Erosion -2017 Financial Assistance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Financial Assistance : project is being developed with local landowners to install sediment control basins to reduce soil erosion and improve conservation drainage. Proposed project expense of is unknown at this time but $10,000 will be allocated to these type projects. Conservation Practices that will reduce soil erosion in the county. Other potential cost share practices include conservation tillage, cover crops, residue management, critical area planting, upland habitat management, strip till no-till . 
</w:t>
            </w:r>
          </w:p>
          <w:p>
            <w:pPr>
              <w:keepNext w:val="on"/>
              <w:keepLines w:val="on"/>
              <w:widowControl w:val="off"/>
              <w:pBdr>
                <w:top w:val="nil"/>
                <w:left w:val="nil"/>
                <w:bottom w:val="nil"/>
                <w:right w:val="nil"/>
                <w:between w:val="nil"/>
              </w:pBdr>
              <w:spacing w:line="276" w:lineRule="auto"/>
              <w:rPr/>
            </w:pPr>
            <w:r>
              <w:rPr/>
              <w:t xml:space="preserve">Installing BMP’s that are identified in the Renville County Comprehensive Local Water Management Plan, which has been adopted by the Renville SWCD, will help benefit the state water quality goals.  
</w:t>
            </w:r>
          </w:p>
          <w:p>
            <w:pPr>
              <w:keepNext w:val="on"/>
              <w:keepLines w:val="on"/>
              <w:widowControl w:val="off"/>
              <w:pBdr>
                <w:top w:val="nil"/>
                <w:left w:val="nil"/>
                <w:bottom w:val="nil"/>
                <w:right w:val="nil"/>
                <w:between w:val="nil"/>
              </w:pBdr>
              <w:spacing w:line="276" w:lineRule="auto"/>
              <w:rPr/>
            </w:pP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AGRICULTURAL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p>
    <w:tbl>
      <w:tblPr>
        <w:tblStyle w:val="LightGrid-Accent1"/>
        <w:tblW w:w="4378" w:type="pct"/>
        <w:tblInd w:w="1818" w:type="dxa"/>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2395"/>
        <w:gridCol w:w="3430"/>
        <w:gridCol w:w="4042"/>
        <w:gridCol w:w="2741"/>
      </w:tblGrid>
      <w:tr>
        <w:trPr>
          <w:trHeight w:val="430" w:hRule="atLeast"/>
        </w:trPr>
        <w:tc>
          <w:tcPr>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pPr>
              <w:keepNext w:val="on"/>
              <w:keepLines w:val="on"/>
              <w:widowControl w:val="off"/>
              <w:pBdr>
                <w:top w:val="nil"/>
                <w:left w:val="nil"/>
                <w:bottom w:val="nil"/>
                <w:right w:val="nil"/>
                <w:between w:val="nil"/>
              </w:pBdr>
              <w:spacing w:line="276" w:lineRule="auto"/>
              <w:rPr>
                <w:rFonts w:asciiTheme="minorHAnsi" w:hAnsiTheme="minorHAnsi"/>
              </w:rPr>
            </w:pPr>
            <w:r>
              <w:rPr>
                <w:rFonts w:asciiTheme="minorHAnsi" w:hAnsiTheme="minorHAnsi"/>
                <w:color w:val="ffffff" w:themeColor="background1"/>
              </w:rPr>
              <w:t xml:space="preserve">Activity Action - </w:t>
            </w:r>
            <w:r>
              <w:rPr>
                <w:rFonts w:asciiTheme="minorHAnsi" w:hAnsiTheme="minorHAnsi"/>
                <w:color w:val="ffffff" w:themeColor="background1"/>
              </w:rPr>
              <w:t xml:space="preserve">Sediment Basins </w:t>
            </w:r>
            <w:r>
              <w:rPr>
                <w:rFonts w:asciiTheme="minorHAnsi" w:hAnsiTheme="minorHAnsi"/>
                <w:color w:val="ffffff" w:themeColor="background1"/>
              </w:rPr>
              <w:t xml:space="preserve"> </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Practice</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587 - Structure for Water Control</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Count of Activities</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16,000</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4064"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Proposed Size / Units</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3.00 COUNT</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Lifespan</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10 Years</w:t>
            </w:r>
          </w:p>
        </w:tc>
      </w:tr>
      <w:tr>
        <w:trPr>
          <w:trHeight w:val="322" w:hRule="atLeast"/>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Actual Size/Units</w:t>
            </w:r>
          </w:p>
        </w:tc>
        <w:tc>
          <w:tcPr>
            <w:tcW w:w="1340"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 COUNT</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Installed Date</w:t>
            </w:r>
          </w:p>
        </w:tc>
        <w:tc>
          <w:tcPr>
            <w:tcW w:w="1145"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p>
        </w:tc>
      </w:tr>
      <w:tr>
        <w:trPr>
          <w:trHeight w:val="322" w:hRule="atLeast"/>
        </w:trPr>
        <w:tc>
          <w:tcPr>
            <w:tcW w:w="93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keepNext w:val="on"/>
              <w:keepLines w:val="on"/>
              <w:widowControl w:val="off"/>
              <w:pBdr>
                <w:top w:val="nil"/>
                <w:left w:val="nil"/>
                <w:bottom w:val="nil"/>
                <w:right w:val="nil"/>
                <w:between w:val="nil"/>
              </w:pBdr>
              <w:rPr/>
            </w:pPr>
            <w:r>
              <w:rPr/>
              <w:t xml:space="preserve">No</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Soil Erosion- 2017 Technician</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Soil Erosion- 2017 Technician- $2100 at the billable rate of $28 will be utilized by a second technician for planning on cost shareable practices to assure soil erosion -2017 finical assistance activity can be completed and cost share delivered to customers. Technical staff is essential in implementing the Renville County Comprehensive Local Water Management Plan, which has been adopted by the Renville County SWCD.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AGRICULTURAL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1/28/19 
</w:t>
            </w:r>
          </w:p>
          <w:p>
            <w:pPr>
              <w:keepNext w:val="on"/>
              <w:keepLines w:val="on"/>
              <w:widowControl w:val="off"/>
              <w:pBdr>
                <w:top w:val="nil"/>
                <w:left w:val="nil"/>
                <w:bottom w:val="nil"/>
                <w:right w:val="nil"/>
                <w:between w:val="nil"/>
              </w:pBdr>
              <w:spacing w:line="276" w:lineRule="auto"/>
              <w:rPr/>
            </w:pPr>
            <w:r>
              <w:rPr/>
              <w:t xml:space="preserve">Outreach Coordinator/District Tech worked 19.8  hours at a billable rate of $40.35 totaling $798.93 working with landowners technical work for erosion control. 
</w:t>
            </w:r>
          </w:p>
          <w:p>
            <w:pPr>
              <w:keepNext w:val="on"/>
              <w:keepLines w:val="on"/>
              <w:widowControl w:val="off"/>
              <w:pBdr>
                <w:top w:val="nil"/>
                <w:left w:val="nil"/>
                <w:bottom w:val="nil"/>
                <w:right w:val="nil"/>
                <w:between w:val="nil"/>
              </w:pBdr>
              <w:spacing w:line="276" w:lineRule="auto"/>
              <w:rPr/>
            </w:pPr>
            <w:r>
              <w:rPr/>
              <w:t xml:space="preserve"> District technician worked 22.77 hours at a billable rate of $41.60 for a total of $947.45, working with landowners and potential erosion control structures and practices in an effort to send 2017 local cap cost share.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Water Storage and Treatment- 2017/2018 Technician</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Water Storage andTreatment- 2017/2018 Technician- in May 2016 a technician was hired using 2016 Local capacity Funds and aid in aspects of current and future programs. We have seen significant increased workload related to the Buffer Law and programs that closely relate to Buffers. We still anticipate a large CREP signup in the county. Resulting in continued increased workload. 1050 hours of a position will be funded through Riparian Mgmt at a billable rate of  $28= $29,400. This position will continue to support, promote and implement the state Buffer Law.  Technical staff is essential in implementing the Renville County Comprehensive Local Water Management Plan, which has been adopted by the Renville County SWCD.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PLANNING AND ASSESSMENT</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1/24/18
</w:t>
            </w:r>
          </w:p>
          <w:p>
            <w:pPr>
              <w:keepNext w:val="on"/>
              <w:keepLines w:val="on"/>
              <w:widowControl w:val="off"/>
              <w:pBdr>
                <w:top w:val="nil"/>
                <w:left w:val="nil"/>
                <w:bottom w:val="nil"/>
                <w:right w:val="nil"/>
                <w:between w:val="nil"/>
              </w:pBdr>
              <w:spacing w:line="276" w:lineRule="auto"/>
              <w:rPr/>
            </w:pPr>
            <w:r>
              <w:rPr/>
              <w:t xml:space="preserve">Outreach Coordinator/District Tech worked 71 hours at a billable rate of $26.28 totaling $1.865.88 working closely with the buffer law, outreach events and technical work with customers.
</w:t>
            </w:r>
          </w:p>
          <w:p>
            <w:pPr>
              <w:keepNext w:val="on"/>
              <w:keepLines w:val="on"/>
              <w:widowControl w:val="off"/>
              <w:pBdr>
                <w:top w:val="nil"/>
                <w:left w:val="nil"/>
                <w:bottom w:val="nil"/>
                <w:right w:val="nil"/>
                <w:between w:val="nil"/>
              </w:pBdr>
              <w:spacing w:line="276" w:lineRule="auto"/>
              <w:rPr/>
            </w:pPr>
            <w:r>
              <w:rPr/>
              <w:t xml:space="preserve">Water Resources Tech. worked 4 hours at a billable rate of $27.97 totaling $111.88 assisting Outreach Coordinator with essential activities. 
</w:t>
            </w:r>
          </w:p>
          <w:p>
            <w:pPr>
              <w:keepNext w:val="on"/>
              <w:keepLines w:val="on"/>
              <w:widowControl w:val="off"/>
              <w:pBdr>
                <w:top w:val="nil"/>
                <w:left w:val="nil"/>
                <w:bottom w:val="nil"/>
                <w:right w:val="nil"/>
                <w:between w:val="nil"/>
              </w:pBdr>
              <w:spacing w:line="276" w:lineRule="auto"/>
              <w:rPr/>
            </w:pPr>
            <w:r>
              <w:rPr/>
              <w:t xml:space="preserve">11/23/18 per the ok of Maul &amp; Krebs 2017 billable rate was update,Outreach Coordinator/District Tech worked  71 hours at $38.76= $2751.96  and Water Resources Tech worked 4 hours at $40.45=$161.80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1/28/19 
</w:t>
            </w:r>
          </w:p>
          <w:p>
            <w:pPr>
              <w:keepNext w:val="on"/>
              <w:keepLines w:val="on"/>
              <w:widowControl w:val="off"/>
              <w:pBdr>
                <w:top w:val="nil"/>
                <w:left w:val="nil"/>
                <w:bottom w:val="nil"/>
                <w:right w:val="nil"/>
                <w:between w:val="nil"/>
              </w:pBdr>
              <w:spacing w:line="276" w:lineRule="auto"/>
              <w:rPr/>
            </w:pPr>
            <w:r>
              <w:rPr/>
              <w:t xml:space="preserve">Outreach Coordinator/District Tech worked 628.85 hours at a billable rate of $40.35 totaling $25403.24 working closely with the buffer law, outreach events and technical work with customers. Computer upgrade needed do to workload requirements of buffcat and ArcGIS, computer purchased for $1083.00 
</w:t>
            </w:r>
          </w:p>
          <w:p>
            <w:pPr>
              <w:keepNext w:val="on"/>
              <w:keepLines w:val="on"/>
              <w:widowControl w:val="off"/>
              <w:pBdr>
                <w:top w:val="nil"/>
                <w:left w:val="nil"/>
                <w:bottom w:val="nil"/>
                <w:right w:val="nil"/>
                <w:between w:val="nil"/>
              </w:pBdr>
              <w:spacing w:line="276" w:lineRule="auto"/>
              <w:rPr/>
            </w:pPr>
            <w:r>
              <w:rPr/>
              <w:t xml:space="preserve">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p>
      <w:pPr>
        <w:pStyle w:val="Heading2"/>
        <w:pBdr>
          <w:top w:val="nil"/>
          <w:left w:val="nil"/>
          <w:bottom w:val="nil"/>
          <w:right w:val="nil"/>
          <w:between w:val="nil"/>
        </w:pBdr>
        <w:spacing w:line="360" w:lineRule="auto"/>
        <w:rPr>
          <w:sz w:val="24"/>
          <w:szCs w:val="24"/>
        </w:rPr>
      </w:pPr>
      <w:r>
        <w:rPr>
          <w:sz w:val="24"/>
          <w:szCs w:val="24"/>
        </w:rPr>
        <w:t xml:space="preserve">Grant Attachments</w:t>
      </w:r>
    </w:p>
    <w:tbl>
      <w:tblPr>
        <w:tblStyle w:val="LightGrid-Accent1"/>
        <w:tblW w:w="5000" w:type="pct"/>
        <w:tblBorders>
          <w:top w:val="single" w:sz="8" w:color="95b3d7" w:themeColor="accent1" w:themeTint="99"/>
          <w:left w:val="single" w:sz="8" w:color="95b3d7" w:themeColor="accent1" w:themeTint="99"/>
          <w:bottom w:val="single" w:sz="8" w:color="95b3d7" w:themeColor="accent1" w:themeTint="99"/>
          <w:right w:val="single" w:sz="8" w:color="95b3d7" w:themeColor="accent1" w:themeTint="99"/>
          <w:insideH w:val="single" w:sz="8" w:color="95b3d7" w:themeColor="accent1" w:themeTint="99"/>
          <w:insideV w:val="single" w:sz="8" w:color="95b3d7" w:themeColor="accent1" w:themeTint="99"/>
        </w:tblBorders>
        <w:tblLook w:firstRow="on" w:lastRow="off" w:firstColumn="on" w:lastColumn="off" w:noHBand="on" w:noVBand="off"/>
      </w:tblPr>
      <w:tblGrid>
        <w:gridCol w:w="5292"/>
        <w:gridCol w:w="2849"/>
        <w:gridCol w:w="6259"/>
      </w:tblGrid>
      <w:tr>
        <w:trPr>
          <w:cantSplit w:val="on"/>
          <w:tblHeader w:val="on"/>
        </w:trPr>
        <w:tc>
          <w:tcPr>
            <w:tcW w:w="1749"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Name</w:t>
            </w:r>
          </w:p>
        </w:tc>
        <w:tc>
          <w:tcPr>
            <w:tcW w:w="100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Type</w:t>
            </w:r>
          </w:p>
        </w:tc>
        <w:tc>
          <w:tcPr>
            <w:tcW w:w="224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Description</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2017 SWCD Local Capacity Services</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2017 SWCD Local Capacity Services - Renville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2017 SWCD Local Capacity Services executed</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2017 SWCD Local Capacity Services - Renville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- 04/20/2018</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All Details Report - 03/26/2018</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- 01/28/2019</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All Details Report - 03/18/2019</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- 02/02/2018</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SWCD signed agreement </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2017 - SWCD Local Capacity Services (Renville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Work Plan - 11/13/2018</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Work Plan - 04/20/2018</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Work Plan - 05/03/2017</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Work Plan - 03/02/2017</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Work Plan - 10/18/2017</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county match</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2017 - SWCD Local Capacity Services (Renville SWCD)</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line="360" w:lineRule="auto"/>
        <w:rPr>
          <w:rFonts w:asciiTheme="majorHAnsi" w:hAnsiTheme="majorHAnsi"/>
          <w:b w:val="on"/>
          <w:sz w:val="20"/>
          <w:szCs w:val="20"/>
        </w:rPr>
      </w:pPr>
    </w:p>
    <w:sectPr>
      <w:footerReference w:type="default" r:id="rId5"/>
      <w:type w:val="continuous"/>
      <w:pgSz w:w="15840" w:h="12240" w:orient="landscape"/>
      <w:pgMar w:top="720" w:right="720" w:bottom="720" w:left="720" w:header="720" w:footer="720" w:gutter="0"/>
      <w:pgBorders w:offsetFrom="page">
        <w:top w:val="nil"/>
        <w:left w:val="nil"/>
        <w:bottom w:val="nil"/>
        <w:right w:val="nil"/>
      </w:pgBorders>
    </w:sectPr>
  </w:body>
</w:document>
</file>

<file path=word/fontTable.xml><?xml version="1.0" encoding="utf-8"?>
<w:fonts xmlns:r="http://schemas.openxmlformats.org/officeDocument/2006/relationships" xmlns:w="http://schemas.openxmlformats.org/wordprocessingml/2006/main">
  <w:font w:name="Arial">
    <w:charset w:val="00"/>
    <w:family w:val="swiss"/>
    <w:pitch w:val="variable"/>
  </w:font>
  <w:font w:name="Calibri">
    <w:panose1 w:val="020F0502020204030204"/>
    <w:charset w:val="00"/>
    <w:family w:val="swiss"/>
    <w:pitch w:val="variable"/>
  </w:font>
  <w:font w:name="Cambria">
    <w:panose1 w:val="02040503050406030204"/>
    <w:charset w:val="00"/>
    <w:family w:val="roman"/>
    <w:pitch w:val="variable"/>
  </w:font>
  <w:font w:name="MS Mincho">
    <w:charset w:val="01"/>
    <w:family w:val="nil"/>
    <w:pitch w:val="default"/>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r>
      <w:rPr>
        <w:sz w:val="20"/>
        <w:szCs w:val="20"/>
      </w:rPr>
      <w:t xml:space="preserve">Report created on:</w:t>
    </w:r>
    <w:fldSimple w:instr=" PRINTDATE  \@ &quot;M/d/yy&quot; ">
      <w:r>
        <w:rPr>
          <w:sz w:val="20"/>
          <w:szCs w:val="20"/>
        </w:rPr>
        <w:t xml:space="preserve">4/11/19</w:t>
      </w:r>
    </w:fldSimpl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Page </w:t>
    </w:r>
    <w:r>
      <w:rPr>
        <w:b w:val="on"/>
        <w:sz w:val="20"/>
        <w:szCs w:val="20"/>
      </w:rPr>
      <w:fldChar w:fldCharType="begin"/>
    </w:r>
    <w:r>
      <w:rPr>
        <w:b w:val="on"/>
        <w:sz w:val="20"/>
        <w:szCs w:val="20"/>
      </w:rPr>
      <w:instrText> PAGE </w:instrText>
    </w:r>
    <w:r>
      <w:rPr>
        <w:b w:val="on"/>
        <w:sz w:val="20"/>
        <w:szCs w:val="20"/>
      </w:rPr>
      <w:r>
        <w:fldChar w:fldCharType="separate"/>
      </w:r>
    </w:r>
    <w:r>
      <w:rPr>
        <w:b w:val="on"/>
        <w:sz w:val="20"/>
        <w:szCs w:val="20"/>
      </w:rPr>
      <w:t xml:space="preserve">1</w:t>
    </w:r>
    <w:r>
      <w:rPr>
        <w:b w:val="on"/>
        <w:sz w:val="20"/>
        <w:szCs w:val="20"/>
      </w:rPr>
      <w:fldChar w:fldCharType="end"/>
    </w:r>
    <w:r>
      <w:rPr>
        <w:sz w:val="20"/>
        <w:szCs w:val="20"/>
      </w:rPr>
      <w:t xml:space="preserve"> of </w:t>
    </w:r>
    <w:r>
      <w:rPr>
        <w:b w:val="on"/>
        <w:sz w:val="20"/>
        <w:szCs w:val="20"/>
      </w:rPr>
      <w:fldChar w:fldCharType="begin"/>
    </w:r>
    <w:r>
      <w:rPr>
        <w:b w:val="on"/>
        <w:sz w:val="20"/>
        <w:szCs w:val="20"/>
      </w:rPr>
      <w:instrText> NUMPAGES </w:instrText>
    </w:r>
    <w:r>
      <w:rPr>
        <w:b w:val="on"/>
        <w:sz w:val="20"/>
        <w:szCs w:val="20"/>
      </w:rPr>
      <w:r>
        <w:fldChar w:fldCharType="separate"/>
      </w:r>
    </w:r>
    <w:r>
      <w:rPr>
        <w:b w:val="on"/>
        <w:sz w:val="20"/>
        <w:szCs w:val="20"/>
      </w:rPr>
      <w:t xml:space="preserve">9</w:t>
    </w:r>
    <w:r>
      <w:rPr>
        <w:b w:val="on"/>
        <w:sz w:val="20"/>
        <w:szCs w:val="20"/>
      </w:rPr>
      <w:fldChar w:fldCharType="end"/>
    </w:r>
    <w:r>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 xmlns:w10="urn:schemas-microsoft-com:office:word" xmlns:w="http://schemas.openxmlformats.org/wordprocessingml/2006/main" xmlns:sl="http://schemas.openxmlformats.org/schemaLibrary/2006/main">
  <w:defaultTabStop w:val="720"/>
  <w:compat>
    <w:compatSetting w:name="compatibilityMode" w:uri="http://schemas.microsoft.com/office/word" w:val="14"/>
  </w:compat>
  <w:clrSchemeMapping w:bg1="light1" w:t2="dark2" w:bg2="light2" w:t1="dark1"/>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pBdr>
          <w:top w:val="nil"/>
          <w:left w:val="nil"/>
          <w:bottom w:val="nil"/>
          <w:right w:val="nil"/>
          <w:between w:val="nil"/>
        </w:pBdr>
        <w:spacing w:after="200" w:line="276" w:lineRule="auto"/>
      </w:pPr>
    </w:pPrDefault>
  </w:docDefaults>
  <w:style w:type="paragraph" w:default="1" w:styleId="Normal">
    <w:name w:val="Normal"/>
    <w:pPr>
      <w:pBdr>
        <w:top w:val="nil"/>
        <w:left w:val="nil"/>
        <w:bottom w:val="nil"/>
        <w:right w:val="nil"/>
        <w:between w:val="nil"/>
      </w:pBdr>
    </w:pPr>
    <w:rPr>
      <w:rFonts w:eastAsiaTheme="minorEastAsia"/>
      <w:sz w:val="22"/>
      <w:szCs w:val="22"/>
    </w:rPr>
  </w:style>
  <w:style w:type="paragraph" w:styleId="Heading2">
    <w:name w:val="heading 2"/>
    <w:basedOn w:val="Normal"/>
    <w:link w:val="Heading2Char"/>
    <w:pPr>
      <w:keepNext w:val="on"/>
      <w:keepLines w:val="on"/>
      <w:pBdr>
        <w:top w:val="nil"/>
        <w:left w:val="nil"/>
        <w:bottom w:val="nil"/>
        <w:right w:val="nil"/>
        <w:between w:val="nil"/>
      </w:pBdr>
      <w:spacing w:before="200" w:after="0"/>
      <w:outlineLvl w:val="1"/>
    </w:pPr>
    <w:rPr>
      <w:rFonts w:asciiTheme="majorHAnsi" w:hAnsiTheme="majorHAnsi" w:cstheme="majorBidi" w:eastAsiaTheme="majorEastAsia"/>
      <w:b w:val="on"/>
      <w:color w:val="4f81bd" w:themeColor="accent1"/>
      <w:sz w:val="26"/>
      <w:szCs w:val="26"/>
    </w:rPr>
  </w:style>
  <w:style w:type="character" w:default="1" w:styleId="DefaultParagraphFont">
    <w:name w:val="Default Paragraph Font"/>
    <w:pPr>
      <w:pBdr>
        <w:top w:val="nil"/>
        <w:left w:val="nil"/>
        <w:bottom w:val="nil"/>
        <w:right w:val="nil"/>
        <w:between w:val="nil"/>
      </w:pBdr>
    </w:pPr>
    <w:rPr>
      <w:sz w:val="22"/>
      <w:szCs w:val="22"/>
    </w:rPr>
  </w:style>
  <w:style w:type="table" w:default="1" w:styleId="TableNormal">
    <w:name w:val="Normal Table"/>
    <w:pPr>
      <w:pBdr>
        <w:top w:val="nil"/>
        <w:left w:val="nil"/>
        <w:bottom w:val="nil"/>
        <w:right w:val="nil"/>
        <w:between w:val="nil"/>
      </w:pBdr>
    </w:pPr>
    <w:rPr>
      <w:sz w:val="22"/>
      <w:szCs w:val="22"/>
    </w:rPr>
    <w:tblPr>
      <w:tblW w:w="0" w:type="dxa"/>
      <w:tblInd w:w="0" w:type="dxa"/>
      <w:tblCellMar>
        <w:top w:w="0" w:type="dxa"/>
        <w:left w:w="108" w:type="dxa"/>
        <w:bottom w:w="0" w:type="dxa"/>
        <w:right w:w="108" w:type="dxa"/>
      </w:tblCellMar>
    </w:tblPr>
    <w:trPr/>
    <w:tcPr/>
  </w:style>
  <w:style w:type="numbering" w:default="1" w:styleId="NoList">
    <w:name w:val="No List"/>
    <w:pPr>
      <w:pBdr>
        <w:top w:val="nil"/>
        <w:left w:val="nil"/>
        <w:bottom w:val="nil"/>
        <w:right w:val="nil"/>
        <w:between w:val="nil"/>
      </w:pBdr>
    </w:pPr>
    <w:rPr>
      <w:sz w:val="22"/>
      <w:szCs w:val="22"/>
    </w:rPr>
  </w:style>
  <w:style w:type="table" w:styleId="TableGrid">
    <w:name w:val="Table Grid"/>
    <w:basedOn w:val="TableNormal"/>
    <w:pPr>
      <w:pBdr>
        <w:top w:val="nil"/>
        <w:left w:val="nil"/>
        <w:bottom w:val="nil"/>
        <w:right w:val="nil"/>
        <w:between w:val="nil"/>
      </w:pBdr>
      <w:spacing w:after="0" w:line="240" w:lineRule="auto"/>
    </w:pPr>
    <w:rPr/>
    <w:tblPr>
      <w:tblW w:w="0" w:type="dxa"/>
      <w:tblBorders>
        <w:top w:val="single" w:sz="4" w:color="auto"/>
        <w:left w:val="single" w:sz="4" w:color="auto"/>
        <w:bottom w:val="single" w:sz="4" w:color="auto"/>
        <w:right w:val="single" w:sz="4" w:color="auto"/>
        <w:insideH w:val="single" w:sz="4" w:color="auto"/>
        <w:insideV w:val="single" w:sz="4" w:color="auto"/>
      </w:tblBorders>
    </w:tblPr>
    <w:trPr/>
    <w:tcPr/>
  </w:style>
  <w:style w:type="character" w:styleId="Heading2Char">
    <w:name w:val="Heading 2 Char"/>
    <w:basedOn w:val="DefaultParagraphFont"/>
    <w:link w:val="Heading2"/>
    <w:pPr>
      <w:pBdr>
        <w:top w:val="nil"/>
        <w:left w:val="nil"/>
        <w:bottom w:val="nil"/>
        <w:right w:val="nil"/>
        <w:between w:val="nil"/>
      </w:pBdr>
    </w:pPr>
    <w:rPr>
      <w:rFonts w:asciiTheme="majorHAnsi" w:hAnsiTheme="majorHAnsi" w:cstheme="majorBidi" w:eastAsiaTheme="majorEastAsia"/>
      <w:b w:val="on"/>
      <w:color w:val="4f81bd" w:themeColor="accent1"/>
      <w:sz w:val="26"/>
      <w:szCs w:val="26"/>
    </w:rPr>
  </w:style>
  <w:style w:type="paragraph" w:styleId="Footer">
    <w:name w:val="footer"/>
    <w:basedOn w:val="Normal"/>
    <w:link w:val="FooterChar"/>
    <w:pPr>
      <w:pBdr>
        <w:top w:val="nil"/>
        <w:left w:val="nil"/>
        <w:bottom w:val="nil"/>
        <w:right w:val="nil"/>
        <w:between w:val="nil"/>
      </w:pBdr>
      <w:tabs>
        <w:tab w:val="center" w:leader="none" w:pos="4680"/>
        <w:tab w:val="right" w:leader="none" w:pos="9360"/>
      </w:tabs>
      <w:spacing w:after="0" w:line="240" w:lineRule="auto"/>
    </w:pPr>
    <w:rPr/>
  </w:style>
  <w:style w:type="character" w:styleId="FooterChar">
    <w:name w:val="Footer Char"/>
    <w:basedOn w:val="DefaultParagraphFont"/>
    <w:link w:val="Footer"/>
    <w:pPr>
      <w:pBdr>
        <w:top w:val="nil"/>
        <w:left w:val="nil"/>
        <w:bottom w:val="nil"/>
        <w:right w:val="nil"/>
        <w:between w:val="nil"/>
      </w:pBdr>
    </w:pPr>
    <w:rPr>
      <w:rFonts w:eastAsiaTheme="minorEastAsia"/>
    </w:rPr>
  </w:style>
  <w:style w:type="table" w:styleId="MediumShading1-Accent1">
    <w:name w:val="Medium Shading 1 Accent 1"/>
    <w:basedOn w:val="TableNormal"/>
    <w:pPr>
      <w:pBdr>
        <w:top w:val="nil"/>
        <w:left w:val="nil"/>
        <w:bottom w:val="nil"/>
        <w:right w:val="nil"/>
        <w:between w:val="nil"/>
      </w:pBdr>
      <w:spacing w:after="0" w:line="240" w:lineRule="auto"/>
    </w:pPr>
    <w:rPr/>
    <w:tblPr>
      <w:tblW w:w="0" w:type="dxa"/>
      <w:tblBorders>
        <w:top w:val="single" w:sz="8" w:color="7ba0cd" w:themeColor="accent1" w:themeTint="BF"/>
        <w:left w:val="single" w:sz="8" w:color="7ba0cd" w:themeColor="accent1" w:themeTint="BF"/>
        <w:bottom w:val="single" w:sz="8" w:color="7ba0cd" w:themeColor="accent1" w:themeTint="BF"/>
        <w:right w:val="single" w:sz="8" w:color="7ba0cd" w:themeColor="accent1" w:themeTint="BF"/>
        <w:insideH w:val="single" w:sz="8" w:color="7ba0cd" w:themeColor="accent1" w:themeTint="BF"/>
      </w:tblBorders>
    </w:tblPr>
    <w:trPr/>
    <w:tcPr/>
    <w:tblStylePr w:type="firstRow">
      <w:rPr>
        <w:b w:val="on"/>
        <w:color w:val="ffffff" w:themeColor="background1"/>
        <w:sz w:val="20"/>
        <w:szCs w:val="20"/>
      </w:rPr>
      <w:tcPr>
        <w:tcBorders>
          <w:top w:val="single" w:sz="8" w:color="7ba0cd" w:themeColor="accent1" w:themeTint="BF"/>
          <w:left w:val="single" w:sz="8" w:color="7ba0cd" w:themeColor="accent1" w:themeTint="BF"/>
          <w:bottom w:val="single" w:sz="8" w:color="7ba0cd" w:themeColor="accent1" w:themeTint="BF"/>
          <w:right w:val="single" w:sz="8" w:color="7ba0cd" w:themeColor="accent1" w:themeTint="BF"/>
        </w:tcBorders>
        <w:shd w:val="clear" w:color="auto" w:fill="4f81bd" w:themeFill="accent1"/>
      </w:tcPr>
    </w:tblStylePr>
    <w:tblStylePr w:type="lastRow">
      <w:rPr>
        <w:b w:val="on"/>
        <w:sz w:val="20"/>
        <w:szCs w:val="20"/>
      </w:rPr>
      <w:tcPr>
        <w:tcBorders>
          <w:top w:val="double" w:sz="6" w:color="7ba0cd" w:themeColor="accent1" w:themeTint="BF"/>
          <w:left w:val="single" w:sz="8" w:color="7ba0cd" w:themeColor="accent1" w:themeTint="BF"/>
          <w:bottom w:val="single" w:sz="8" w:color="7ba0cd" w:themeColor="accent1" w:themeTint="BF"/>
          <w:right w:val="single" w:sz="8" w:color="7ba0cd" w:themeColor="accent1" w:themeTint="BF"/>
        </w:tcBorders>
      </w:tcPr>
    </w:tblStylePr>
    <w:tblStylePr w:type="firstCol">
      <w:rPr>
        <w:b w:val="on"/>
        <w:sz w:val="20"/>
        <w:szCs w:val="20"/>
      </w:rPr>
      <w:tcPr/>
    </w:tblStylePr>
    <w:tblStylePr w:type="lastCol">
      <w:rPr>
        <w:b w:val="on"/>
        <w:sz w:val="20"/>
        <w:szCs w:val="20"/>
      </w:rPr>
      <w:tcPr/>
    </w:tblStylePr>
    <w:tblStylePr w:type="band1Vert">
      <w:rPr>
        <w:sz w:val="20"/>
        <w:szCs w:val="20"/>
      </w:rPr>
      <w:tcPr>
        <w:shd w:val="clear" w:color="auto" w:fill="d3dfee" w:themeFill="accent1" w:themeFillTint="3F"/>
      </w:tcPr>
    </w:tblStylePr>
    <w:tblStylePr w:type="band1Horz">
      <w:rPr>
        <w:sz w:val="20"/>
        <w:szCs w:val="20"/>
      </w:rPr>
      <w:tcPr>
        <w:shd w:val="clear" w:color="auto" w:fill="d3dfee" w:themeFill="accent1" w:themeFillTint="3F"/>
      </w:tcPr>
    </w:tblStylePr>
    <w:tblStylePr w:type="band2Horz">
      <w:rPr>
        <w:sz w:val="20"/>
        <w:szCs w:val="20"/>
      </w:rPr>
      <w:tcPr/>
    </w:tblStylePr>
  </w:style>
  <w:style w:type="table" w:styleId="LightGrid-Accent1">
    <w:name w:val="Light Grid Accent 1"/>
    <w:basedOn w:val="TableNormal"/>
    <w:pPr>
      <w:pBdr>
        <w:top w:val="nil"/>
        <w:left w:val="nil"/>
        <w:bottom w:val="nil"/>
        <w:right w:val="nil"/>
        <w:between w:val="nil"/>
      </w:pBdr>
      <w:spacing w:after="0" w:line="240" w:lineRule="auto"/>
    </w:pPr>
    <w:rPr/>
    <w:tblPr>
      <w:tblW w:w="0" w:type="dxa"/>
      <w:tblBorders>
        <w:top w:val="single" w:sz="8" w:color="4f81bd" w:themeColor="accent1"/>
        <w:left w:val="single" w:sz="8" w:color="4f81bd" w:themeColor="accent1"/>
        <w:bottom w:val="single" w:sz="8" w:color="4f81bd" w:themeColor="accent1"/>
        <w:right w:val="single" w:sz="8" w:color="4f81bd" w:themeColor="accent1"/>
        <w:insideH w:val="single" w:sz="8" w:color="4f81bd" w:themeColor="accent1"/>
        <w:insideV w:val="single" w:sz="8" w:color="4f81bd" w:themeColor="accent1"/>
      </w:tblBorders>
    </w:tblPr>
    <w:trPr/>
    <w:tcPr/>
    <w:tblStylePr w:type="firstRow">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18" w:color="4f81bd" w:themeColor="accent1"/>
          <w:right w:val="single" w:sz="8" w:color="4f81bd" w:themeColor="accent1"/>
        </w:tcBorders>
      </w:tcPr>
    </w:tblStylePr>
    <w:tblStylePr w:type="lastRow">
      <w:rPr>
        <w:rFonts w:asciiTheme="majorHAnsi" w:hAnsiTheme="majorHAnsi" w:cstheme="majorBidi" w:eastAsiaTheme="majorEastAsia"/>
        <w:b w:val="on"/>
        <w:sz w:val="20"/>
        <w:szCs w:val="20"/>
      </w:rPr>
      <w:tcPr>
        <w:tcBorders>
          <w:top w:val="double" w:sz="6" w:color="4f81bd" w:themeColor="accent1"/>
          <w:left w:val="single" w:sz="8" w:color="4f81bd" w:themeColor="accent1"/>
          <w:bottom w:val="single" w:sz="8" w:color="4f81bd" w:themeColor="accent1"/>
          <w:right w:val="single" w:sz="8" w:color="4f81bd" w:themeColor="accent1"/>
        </w:tcBorders>
      </w:tcPr>
    </w:tblStylePr>
    <w:tblStylePr w:type="firstCol">
      <w:rPr>
        <w:rFonts w:asciiTheme="majorHAnsi" w:hAnsiTheme="majorHAnsi" w:cstheme="majorBidi" w:eastAsiaTheme="majorEastAsia"/>
        <w:b w:val="on"/>
        <w:sz w:val="20"/>
        <w:szCs w:val="20"/>
      </w:rPr>
      <w:tcPr/>
    </w:tblStylePr>
    <w:tblStylePr w:type="lastCol">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tblStylePr w:type="band1Vert">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1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2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style>
</w:styles>
</file>

<file path=word/_rels/document.xml.rels><?xml version="1.0" encoding="utf-8"?>
<Relationships xmlns="http://schemas.openxmlformats.org/package/2006/relationships">
  <Relationship Id="rId1" Type="http://schemas.openxmlformats.org/officeDocument/2006/relationships/settings" Target="settings.xml" />
  <Relationship Id="rId2" Type="http://schemas.openxmlformats.org/officeDocument/2006/relationships/fontTable" Target="fontTable.xml" />
  <Relationship Id="rId3" Type="http://schemas.openxmlformats.org/officeDocument/2006/relationships/styles" Target="styles.xml" />
  <Relationship Id="rId4" Type="http://schemas.openxmlformats.org/officeDocument/2006/relationships/theme" Target="theme/theme1.xml" />
  <Relationship Id="rId5" Type="http://schemas.openxmlformats.org/officeDocument/2006/relationships/footer" Target="footer1.xml" />
  <Relationship Id="rId7" Type="http://schemas.openxmlformats.org/officeDocument/2006/relationships/image" Target="media/image1.png" />
</Relationships>
</file>

<file path=word/theme/theme1.xml><?xml version="1.0" encoding="utf-8"?>
<a:theme xmlns:a="http://schemas.openxmlformats.org/drawingml/2006/main" xmlns:r="http://schemas.openxmlformats.org/officeDocument/2006/relationship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9</Pages>
  <Application>Microsoft Office Word</Application>
  <Company>Board of Water and Soil Resources (BWSR)</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2019-04-11T17:02:00Z</dcterms:created>
  <dcterms:modified xsi:type="dcterms:W3CDTF">2019-04-11T17:02:00Z</dcterms:modified>
</cp:coreProperties>
</file>